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ahoma" w:hAnsi="Tahoma"/>
          <w:b/>
          <w:b/>
          <w:sz w:val="22"/>
        </w:rPr>
      </w:pPr>
      <w:r>
        <w:rPr>
          <w:rFonts w:ascii="Tahoma" w:hAnsi="Tahoma"/>
          <w:b/>
          <w:sz w:val="22"/>
        </w:rPr>
        <w:t>INSTRUCTIVO PARA TRAMITAR UN CONTRATO DE ARRENDAMIENTO OBRA DE DOCENTES EXTRANJEROS</w:t>
      </w:r>
    </w:p>
    <w:p>
      <w:pPr>
        <w:pStyle w:val="Normal"/>
        <w:spacing w:lineRule="auto" w:line="360" w:before="120" w:after="120"/>
        <w:jc w:val="both"/>
        <w:rPr>
          <w:rFonts w:ascii="Tahoma" w:hAnsi="Tahoma"/>
          <w:i/>
          <w:i/>
          <w:sz w:val="18"/>
        </w:rPr>
      </w:pPr>
      <w:r>
        <w:rPr>
          <w:rFonts w:ascii="Tahoma" w:hAnsi="Tahoma"/>
          <w:i/>
          <w:sz w:val="18"/>
        </w:rPr>
        <w:t>Se realiza un contrato de arrendamiento de obra cuando para desempeñar una tarea específica (trabajos de investigación o asesoramiento, dictar cursos, conferencias o seminarios), sea necesario contratar a un profesional, técnico, o idóneo en determinada área, siempre y cuando ésta tarea sea por un período determinado (acotado).</w:t>
      </w:r>
    </w:p>
    <w:p>
      <w:pPr>
        <w:pStyle w:val="Normal"/>
        <w:spacing w:lineRule="auto" w:line="360" w:before="120" w:after="120"/>
        <w:jc w:val="both"/>
        <w:rPr>
          <w:rFonts w:ascii="Verdana" w:hAnsi="Verdana"/>
          <w:i/>
          <w:i/>
          <w:sz w:val="18"/>
        </w:rPr>
      </w:pPr>
      <w:r>
        <w:rPr>
          <w:rFonts w:ascii="Verdana" w:hAnsi="Verdana"/>
          <w:b/>
        </w:rPr>
        <w:t>Pasos a seguir:</w:t>
      </w:r>
    </w:p>
    <w:p>
      <w:pPr>
        <w:pStyle w:val="ListParagraph"/>
        <w:numPr>
          <w:ilvl w:val="0"/>
          <w:numId w:val="1"/>
        </w:numPr>
        <w:spacing w:lineRule="auto" w:line="276"/>
        <w:jc w:val="both"/>
        <w:rPr>
          <w:rFonts w:ascii="Verdana" w:hAnsi="Verdana" w:cs="Arial"/>
        </w:rPr>
      </w:pPr>
      <w:r>
        <w:rPr>
          <w:rFonts w:cs="Arial" w:ascii="Verdana" w:hAnsi="Verdana"/>
        </w:rPr>
        <w:t xml:space="preserve">Recabar la información de la persona a contratar. Es importante destacar que el Departamento de Personal necesita información personal de </w:t>
      </w:r>
      <w:r>
        <w:rPr>
          <w:rFonts w:cs="Arial" w:ascii="Verdana" w:hAnsi="Verdana"/>
          <w:b/>
          <w:i/>
          <w:u w:val="single"/>
        </w:rPr>
        <w:t>todos</w:t>
      </w:r>
      <w:r>
        <w:rPr>
          <w:rFonts w:cs="Arial" w:ascii="Verdana" w:hAnsi="Verdana"/>
        </w:rPr>
        <w:t xml:space="preserve"> los contratos de arrendamiento de obra. Los datos a presentar son: Nombres y apellidos completos (1er. y segundo), fecha de nacimiento, N° de documento de identidad o pasaporte. </w:t>
      </w:r>
    </w:p>
    <w:p>
      <w:pPr>
        <w:pStyle w:val="ListParagraph"/>
        <w:numPr>
          <w:ilvl w:val="0"/>
          <w:numId w:val="1"/>
        </w:numPr>
        <w:spacing w:lineRule="auto" w:line="276"/>
        <w:jc w:val="both"/>
        <w:rPr>
          <w:rFonts w:ascii="Verdana" w:hAnsi="Verdana" w:cs="Arial"/>
          <w:i/>
          <w:i/>
          <w:u w:val="single"/>
        </w:rPr>
      </w:pPr>
      <w:r>
        <w:rPr>
          <w:rFonts w:cs="Arial" w:ascii="Verdana" w:hAnsi="Verdana"/>
          <w:i/>
          <w:u w:val="single"/>
        </w:rPr>
        <w:t>Por tanto, a los efectos de evitar demoras posteriores, se sugiere solicitar copia de pasaporte o documento, previo al inicio de los trámites.</w:t>
      </w:r>
    </w:p>
    <w:p>
      <w:pPr>
        <w:pStyle w:val="Default"/>
        <w:spacing w:lineRule="auto" w:line="360"/>
        <w:jc w:val="both"/>
        <w:rPr>
          <w:rFonts w:ascii="Verdana" w:hAnsi="Verdana" w:cs="Arial"/>
          <w:sz w:val="20"/>
          <w:szCs w:val="20"/>
        </w:rPr>
      </w:pPr>
      <w:r>
        <w:rPr>
          <w:rFonts w:cs="Arial" w:ascii="Verdana" w:hAnsi="Verdana"/>
          <w:sz w:val="20"/>
          <w:szCs w:val="20"/>
        </w:rPr>
      </w:r>
    </w:p>
    <w:p>
      <w:pPr>
        <w:pStyle w:val="Default"/>
        <w:numPr>
          <w:ilvl w:val="0"/>
          <w:numId w:val="1"/>
        </w:numPr>
        <w:spacing w:lineRule="auto" w:line="276"/>
        <w:jc w:val="both"/>
        <w:rPr>
          <w:rFonts w:ascii="Verdana" w:hAnsi="Verdana" w:cs="" w:cstheme="minorBidi"/>
          <w:color w:val="auto"/>
          <w:sz w:val="20"/>
          <w:szCs w:val="20"/>
        </w:rPr>
      </w:pPr>
      <w:r>
        <w:rPr>
          <w:rFonts w:cs="Arial" w:ascii="Verdana" w:hAnsi="Verdana"/>
          <w:sz w:val="20"/>
          <w:szCs w:val="20"/>
        </w:rPr>
        <w:t xml:space="preserve">Redactar una nota dirigida al Sr. Decano solicitando autorización para la realización de un contrato de Arrendamiento de Obra, indicando financiación prevista (si se prevé pagar con fondos de la facultad, o con fondos específicos (de algún proyecto, convenio, etc).  </w:t>
      </w:r>
      <w:r>
        <w:rPr>
          <w:rFonts w:cs="Arial" w:ascii="Verdana" w:hAnsi="Verdana"/>
          <w:b/>
          <w:i/>
          <w:sz w:val="20"/>
          <w:szCs w:val="20"/>
          <w:u w:val="single"/>
        </w:rPr>
        <w:t>Es importante que en la nota se aclare qué actividad se va a realizar y en qué condiciones</w:t>
      </w:r>
      <w:r>
        <w:rPr>
          <w:rFonts w:cs="Arial" w:ascii="Verdana" w:hAnsi="Verdana"/>
          <w:sz w:val="20"/>
          <w:szCs w:val="20"/>
        </w:rPr>
        <w:t>,</w:t>
      </w:r>
      <w:r>
        <w:rPr>
          <w:rFonts w:cs="Arial" w:ascii="Arial" w:hAnsi="Arial"/>
          <w:sz w:val="20"/>
          <w:szCs w:val="20"/>
        </w:rPr>
        <w:t xml:space="preserve"> </w:t>
      </w:r>
      <w:r>
        <w:rPr>
          <w:rFonts w:cs="Arial" w:ascii="Verdana" w:hAnsi="Verdana"/>
          <w:color w:val="auto"/>
          <w:sz w:val="20"/>
          <w:szCs w:val="20"/>
        </w:rPr>
        <w:t xml:space="preserve">ya que para que esté comprendida en el Decreto 494/07 del 17 de diciembre de 2007, por lo cual dicha actividad estaría exonerada de IVA y del Impuesto a las Rentas de No Residentes (IRNR) </w:t>
      </w:r>
      <w:r>
        <w:rPr>
          <w:rFonts w:cs="Arial" w:ascii="Verdana" w:hAnsi="Verdana"/>
          <w:b/>
          <w:i/>
          <w:color w:val="auto"/>
          <w:sz w:val="20"/>
          <w:szCs w:val="20"/>
          <w:u w:val="single"/>
        </w:rPr>
        <w:t xml:space="preserve">debe tratarse de una actividad abierta a todo público (sin perjuicio de los requerimientos académicos que se exija a los asistentes) </w:t>
      </w:r>
      <w:r>
        <w:rPr>
          <w:rFonts w:cs="Arial" w:ascii="Verdana" w:hAnsi="Verdana"/>
          <w:color w:val="auto"/>
          <w:sz w:val="20"/>
          <w:szCs w:val="20"/>
        </w:rPr>
        <w:t>desarrollada por docentes y especialistas, no residentes, para  dictado de cursos, conferencias y seminarios de su especialidad</w:t>
        <w:tab/>
      </w:r>
      <w:r>
        <w:rPr>
          <w:rFonts w:cs="" w:ascii="Verdana" w:hAnsi="Verdana" w:cstheme="minorBidi"/>
          <w:color w:val="auto"/>
          <w:sz w:val="20"/>
          <w:szCs w:val="20"/>
        </w:rPr>
        <w:tab/>
        <w:tab/>
        <w:tab/>
        <w:tab/>
        <w:tab/>
      </w:r>
    </w:p>
    <w:p>
      <w:pPr>
        <w:pStyle w:val="Default"/>
        <w:spacing w:lineRule="auto" w:line="360"/>
        <w:ind w:firstLine="4245"/>
        <w:jc w:val="both"/>
        <w:rPr>
          <w:rFonts w:ascii="Calibri" w:hAnsi="Calibri" w:cs="" w:asciiTheme="minorHAnsi" w:cstheme="minorBidi" w:hAnsiTheme="minorHAnsi"/>
          <w:color w:val="auto"/>
          <w:sz w:val="16"/>
          <w:szCs w:val="16"/>
        </w:rPr>
      </w:pPr>
      <w:r>
        <w:rPr>
          <w:rFonts w:cs="" w:cstheme="minorBidi" w:ascii="Calibri" w:hAnsi="Calibri"/>
          <w:color w:val="auto"/>
          <w:sz w:val="16"/>
          <w:szCs w:val="16"/>
        </w:rPr>
      </w:r>
    </w:p>
    <w:p>
      <w:pPr>
        <w:pStyle w:val="ListParagraph"/>
        <w:numPr>
          <w:ilvl w:val="0"/>
          <w:numId w:val="1"/>
        </w:numPr>
        <w:spacing w:lineRule="auto" w:line="276"/>
        <w:jc w:val="both"/>
        <w:rPr>
          <w:rFonts w:ascii="Verdana" w:hAnsi="Verdana" w:cs="Arial"/>
        </w:rPr>
      </w:pPr>
      <w:r>
        <w:rPr>
          <w:rFonts w:cs="Arial" w:ascii="Verdana" w:hAnsi="Verdana"/>
        </w:rPr>
        <w:t xml:space="preserve">Con la nota autorizada, mas el borrador del </w:t>
      </w:r>
      <w:r>
        <w:rPr>
          <w:rFonts w:cs="Arial" w:ascii="Verdana" w:hAnsi="Verdana"/>
          <w:b/>
        </w:rPr>
        <w:t>contrato de arrendamiento de obra</w:t>
      </w:r>
      <w:r>
        <w:rPr>
          <w:rFonts w:cs="Arial" w:ascii="Verdana" w:hAnsi="Verdana"/>
          <w:b/>
          <w:vertAlign w:val="superscript"/>
        </w:rPr>
        <w:t>(1)</w:t>
      </w:r>
      <w:r>
        <w:rPr>
          <w:rFonts w:cs="Arial" w:ascii="Verdana" w:hAnsi="Verdana"/>
        </w:rPr>
        <w:t xml:space="preserve">  (completar todos los datos menos las fechas  del contrato, la fecha y nro. de resolución del Consejo y de inicio y fin de las actividades), mas los datos adicionales (currículum, diplomas, copia de documento de identidad o pasaporte, etc.); se </w:t>
      </w:r>
      <w:r>
        <w:rPr>
          <w:rFonts w:eastAsia="Times New Roman" w:cs="Arial" w:ascii="Verdana" w:hAnsi="Verdana"/>
          <w:sz w:val="20"/>
          <w:szCs w:val="20"/>
          <w:lang w:eastAsia="es-ES"/>
        </w:rPr>
        <w:t>debe</w:t>
      </w:r>
      <w:r>
        <w:rPr>
          <w:rFonts w:cs="Arial" w:ascii="Verdana" w:hAnsi="Verdana"/>
        </w:rPr>
        <w:t xml:space="preserve"> iniciar </w:t>
      </w:r>
      <w:r>
        <w:rPr>
          <w:rFonts w:eastAsia="Times New Roman" w:cs="Arial" w:ascii="Verdana" w:hAnsi="Verdana"/>
          <w:sz w:val="20"/>
          <w:szCs w:val="20"/>
          <w:lang w:eastAsia="es-ES"/>
        </w:rPr>
        <w:t xml:space="preserve">el </w:t>
      </w:r>
      <w:r>
        <w:rPr>
          <w:rFonts w:cs="Arial" w:ascii="Verdana" w:hAnsi="Verdana"/>
        </w:rPr>
        <w:t xml:space="preserve"> expediente </w:t>
      </w:r>
      <w:r>
        <w:rPr>
          <w:rFonts w:cs="Arial" w:ascii="Verdana" w:hAnsi="Verdana"/>
        </w:rPr>
        <w:t>electrónico</w:t>
      </w:r>
      <w:r>
        <w:rPr>
          <w:rFonts w:cs="Arial" w:ascii="Verdana" w:hAnsi="Verdana"/>
        </w:rPr>
        <w:t>.</w:t>
      </w:r>
    </w:p>
    <w:p>
      <w:pPr>
        <w:pStyle w:val="Normal"/>
        <w:spacing w:lineRule="auto" w:line="276"/>
        <w:jc w:val="both"/>
        <w:rPr>
          <w:rFonts w:ascii="Verdana" w:hAnsi="Verdana" w:cs="Arial"/>
        </w:rPr>
      </w:pPr>
      <w:r>
        <w:rPr>
          <w:rFonts w:cs="Arial" w:ascii="Verdana" w:hAnsi="Verdana"/>
        </w:rPr>
      </w:r>
    </w:p>
    <w:p>
      <w:pPr>
        <w:pStyle w:val="ListParagraph"/>
        <w:numPr>
          <w:ilvl w:val="0"/>
          <w:numId w:val="1"/>
        </w:numPr>
        <w:spacing w:lineRule="auto" w:line="276"/>
        <w:jc w:val="both"/>
        <w:rPr>
          <w:rFonts w:ascii="Verdana" w:hAnsi="Verdana" w:cs="Arial"/>
        </w:rPr>
      </w:pPr>
      <w:r>
        <w:rPr>
          <w:rFonts w:cs="Arial" w:ascii="Verdana" w:hAnsi="Verdana"/>
        </w:rPr>
        <w:t>Pasa al Dpto. de Contaduría para el informe de disponibilidad presupuestal y la realización de la reserva del gasto.</w:t>
      </w:r>
    </w:p>
    <w:p>
      <w:pPr>
        <w:pStyle w:val="Normal"/>
        <w:spacing w:lineRule="auto" w:line="276"/>
        <w:jc w:val="both"/>
        <w:rPr>
          <w:rFonts w:ascii="Verdana" w:hAnsi="Verdana" w:cs="Arial"/>
        </w:rPr>
      </w:pPr>
      <w:r>
        <w:rPr>
          <w:rFonts w:cs="Arial" w:ascii="Verdana" w:hAnsi="Verdana"/>
        </w:rPr>
      </w:r>
    </w:p>
    <w:p>
      <w:pPr>
        <w:pStyle w:val="ListParagraph"/>
        <w:numPr>
          <w:ilvl w:val="0"/>
          <w:numId w:val="1"/>
        </w:numPr>
        <w:spacing w:lineRule="auto" w:line="276"/>
        <w:jc w:val="both"/>
        <w:rPr>
          <w:rFonts w:ascii="Verdana" w:hAnsi="Verdana" w:cs="Arial"/>
        </w:rPr>
      </w:pPr>
      <w:r>
        <w:rPr>
          <w:rFonts w:cs="Arial" w:ascii="Verdana" w:hAnsi="Verdana"/>
        </w:rPr>
        <w:t>Pasa a consejo para su aprobación</w:t>
      </w:r>
    </w:p>
    <w:p>
      <w:pPr>
        <w:pStyle w:val="Normal"/>
        <w:spacing w:lineRule="auto" w:line="276"/>
        <w:jc w:val="both"/>
        <w:rPr>
          <w:rFonts w:ascii="Verdana" w:hAnsi="Verdana" w:cs="Arial"/>
        </w:rPr>
      </w:pPr>
      <w:r>
        <w:rPr>
          <w:rFonts w:cs="Arial" w:ascii="Verdana" w:hAnsi="Verdana"/>
        </w:rPr>
      </w:r>
    </w:p>
    <w:p>
      <w:pPr>
        <w:pStyle w:val="ListParagraph"/>
        <w:numPr>
          <w:ilvl w:val="0"/>
          <w:numId w:val="1"/>
        </w:numPr>
        <w:spacing w:lineRule="auto" w:line="276"/>
        <w:jc w:val="both"/>
        <w:rPr>
          <w:rFonts w:ascii="Verdana" w:hAnsi="Verdana" w:cs="Arial"/>
        </w:rPr>
      </w:pPr>
      <w:r>
        <w:rPr>
          <w:rFonts w:cs="Arial" w:ascii="Verdana" w:hAnsi="Verdana"/>
        </w:rPr>
        <w:t xml:space="preserve">Una vez aprobado por el Consejo, se debe adjuntar al expediente una copia de la resolución y  se envía a Contaduría para su intervención.  </w:t>
      </w:r>
    </w:p>
    <w:p>
      <w:pPr>
        <w:pStyle w:val="Normal"/>
        <w:spacing w:lineRule="auto" w:line="276"/>
        <w:jc w:val="both"/>
        <w:rPr>
          <w:rFonts w:ascii="Verdana" w:hAnsi="Verdana" w:cs="Arial"/>
        </w:rPr>
      </w:pPr>
      <w:r>
        <w:rPr>
          <w:rFonts w:cs="Arial" w:ascii="Verdana" w:hAnsi="Verdana"/>
        </w:rPr>
      </w:r>
    </w:p>
    <w:p>
      <w:pPr>
        <w:pStyle w:val="ListParagraph"/>
        <w:numPr>
          <w:ilvl w:val="0"/>
          <w:numId w:val="1"/>
        </w:numPr>
        <w:spacing w:lineRule="auto" w:line="276"/>
        <w:jc w:val="both"/>
        <w:rPr>
          <w:rFonts w:ascii="Verdana" w:hAnsi="Verdana" w:cs="Arial"/>
          <w:b/>
          <w:b/>
        </w:rPr>
      </w:pPr>
      <w:r>
        <w:rPr>
          <w:rFonts w:cs="Arial" w:ascii="Verdana" w:hAnsi="Verdana"/>
        </w:rPr>
        <w:t>Se prepara el contrato definitivo (es sólo agregar las fechas de elaboración del contrato y el período de actuación del docente),</w:t>
      </w:r>
      <w:r>
        <w:rPr>
          <w:rFonts w:cs="Arial" w:ascii="Verdana" w:hAnsi="Verdana"/>
          <w:i/>
        </w:rPr>
        <w:t xml:space="preserve"> -</w:t>
      </w:r>
      <w:r>
        <w:rPr>
          <w:rFonts w:cs="Arial" w:ascii="Verdana" w:hAnsi="Verdana"/>
          <w:b/>
          <w:i/>
          <w:u w:val="single"/>
        </w:rPr>
        <w:t>es importante tener</w:t>
      </w:r>
    </w:p>
    <w:p>
      <w:pPr>
        <w:pStyle w:val="ListParagraph"/>
        <w:spacing w:lineRule="auto" w:line="276"/>
        <w:ind w:left="709" w:hanging="0"/>
        <w:jc w:val="both"/>
        <w:rPr>
          <w:rFonts w:ascii="Verdana" w:hAnsi="Verdana" w:cs="Arial"/>
          <w:b/>
          <w:b/>
        </w:rPr>
      </w:pPr>
      <w:r>
        <w:rPr>
          <w:rFonts w:cs="Arial" w:ascii="Verdana" w:hAnsi="Verdana"/>
          <w:b/>
          <w:i/>
          <w:u w:val="single"/>
        </w:rPr>
        <w:t xml:space="preserve">en cuenta que todas las fechas deben ser posteriores a la resolución del consejo. </w:t>
      </w:r>
    </w:p>
    <w:p>
      <w:pPr>
        <w:pStyle w:val="ListParagraph"/>
        <w:rPr>
          <w:rFonts w:ascii="Verdana" w:hAnsi="Verdana" w:cs="Arial"/>
        </w:rPr>
      </w:pPr>
      <w:r>
        <w:rPr>
          <w:rFonts w:cs="Arial" w:ascii="Verdana" w:hAnsi="Verdana"/>
        </w:rPr>
      </w:r>
    </w:p>
    <w:p>
      <w:pPr>
        <w:pStyle w:val="ListParagraph"/>
        <w:spacing w:lineRule="auto" w:line="276"/>
        <w:jc w:val="both"/>
        <w:rPr>
          <w:rFonts w:ascii="Verdana" w:hAnsi="Verdana" w:cs="Arial"/>
        </w:rPr>
      </w:pPr>
      <w:r>
        <w:rPr>
          <w:rFonts w:cs="Arial" w:ascii="Verdana" w:hAnsi="Verdana"/>
        </w:rPr>
      </w:r>
    </w:p>
    <w:p>
      <w:pPr>
        <w:pStyle w:val="Normal"/>
        <w:spacing w:lineRule="auto" w:line="276"/>
        <w:jc w:val="both"/>
        <w:rPr>
          <w:rFonts w:ascii="Verdana" w:hAnsi="Verdana" w:cs="Arial"/>
        </w:rPr>
      </w:pPr>
      <w:r>
        <w:rPr>
          <w:rFonts w:cs="Arial" w:ascii="Verdana" w:hAnsi="Verdana"/>
        </w:rPr>
        <w:t>A partir de este momento  se está en condiciones de iniciar los trabajos y gestionar el pago.</w:t>
      </w:r>
    </w:p>
    <w:p>
      <w:pPr>
        <w:pStyle w:val="Normal"/>
        <w:spacing w:lineRule="auto" w:line="276"/>
        <w:ind w:left="357" w:hanging="0"/>
        <w:jc w:val="both"/>
        <w:rPr>
          <w:rFonts w:ascii="Verdana" w:hAnsi="Verdana" w:cs="Arial"/>
          <w:u w:val="single"/>
        </w:rPr>
      </w:pPr>
      <w:r>
        <w:rPr>
          <w:rFonts w:cs="Arial" w:ascii="Verdana" w:hAnsi="Verdana"/>
          <w:u w:val="single"/>
        </w:rPr>
      </w:r>
    </w:p>
    <w:p>
      <w:pPr>
        <w:pStyle w:val="Normal"/>
        <w:spacing w:lineRule="auto" w:line="276"/>
        <w:jc w:val="both"/>
        <w:rPr>
          <w:rFonts w:ascii="Verdana" w:hAnsi="Verdana" w:cs="Arial"/>
        </w:rPr>
      </w:pPr>
      <w:r>
        <w:rPr>
          <w:rFonts w:cs="Arial" w:ascii="Verdana" w:hAnsi="Verdana"/>
          <w:u w:val="single"/>
        </w:rPr>
        <w:t>Para el pago</w:t>
      </w:r>
      <w:r>
        <w:rPr>
          <w:rFonts w:cs="Arial" w:ascii="Verdana" w:hAnsi="Verdana"/>
        </w:rPr>
        <w:t xml:space="preserve">: con antelación se debe avisar al Dpto. de Contaduría la fecha estimada del pago, en contaduría se prepara el recibo para que firme el docente al momento de cobrar; se cobra en Tesorería. </w:t>
      </w:r>
    </w:p>
    <w:sectPr>
      <w:headerReference w:type="default" r:id="rId2"/>
      <w:footerReference w:type="default" r:id="rId3"/>
      <w:type w:val="nextPage"/>
      <w:pgSz w:w="11906" w:h="16838"/>
      <w:pgMar w:left="1701" w:right="1701" w:header="567" w:top="1418" w:footer="567"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 w:name="Verdan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p>
    <w:pPr>
      <w:pStyle w:val="Piedepgina"/>
      <w:ind w:left="360" w:hanging="0"/>
      <w:jc w:val="center"/>
      <w:rPr>
        <w:color w:val="000000"/>
        <w:sz w:val="18"/>
        <w:szCs w:val="18"/>
      </w:rPr>
    </w:pPr>
    <w:r>
      <mc:AlternateContent>
        <mc:Choice Requires="wps">
          <w:drawing>
            <wp:anchor behindDoc="1" distT="0" distB="0" distL="114300" distR="114300" simplePos="0" locked="0" layoutInCell="1" allowOverlap="1" relativeHeight="5">
              <wp:simplePos x="0" y="0"/>
              <wp:positionH relativeFrom="column">
                <wp:posOffset>8890</wp:posOffset>
              </wp:positionH>
              <wp:positionV relativeFrom="paragraph">
                <wp:posOffset>-12065</wp:posOffset>
              </wp:positionV>
              <wp:extent cx="3778250" cy="1270"/>
              <wp:effectExtent l="0" t="0" r="0" b="0"/>
              <wp:wrapNone/>
              <wp:docPr id="4" name=""/>
              <a:graphic xmlns:a="http://schemas.openxmlformats.org/drawingml/2006/main">
                <a:graphicData uri="http://schemas.microsoft.com/office/word/2010/wordprocessingShape">
                  <wps:wsp>
                    <wps:cNvSpPr/>
                    <wps:spPr>
                      <a:xfrm>
                        <a:off x="0" y="0"/>
                        <a:ext cx="53834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7pt,-0.95pt" to="424.55pt,-0.95pt" stroked="t" style="position:absolute">
              <v:stroke color="black" weight="9360" joinstyle="round" endcap="flat"/>
              <v:fill o:detectmouseclick="t" on="false"/>
            </v:line>
          </w:pict>
        </mc:Fallback>
      </mc:AlternateContent>
    </w:r>
    <w:r>
      <w:rPr>
        <w:color w:val="000000"/>
        <w:sz w:val="18"/>
        <w:szCs w:val="18"/>
      </w:rPr>
      <w:t>D</w:t>
    </w:r>
    <w:r>
      <w:rPr>
        <w:color w:val="000000"/>
        <w:sz w:val="18"/>
        <w:szCs w:val="18"/>
      </w:rPr>
      <w:t xml:space="preserve"> e p a r t a m e n t o   d e   C o n t a d u r i a     -     F a c u l t a d   d e   A r q u i t e c t u r a </w:t>
    </w:r>
  </w:p>
  <w:p>
    <w:pPr>
      <w:pStyle w:val="Piedepgina"/>
      <w:ind w:left="360" w:hanging="0"/>
      <w:jc w:val="center"/>
      <w:rPr>
        <w:color w:val="000000"/>
        <w:sz w:val="16"/>
        <w:szCs w:val="16"/>
        <w:lang w:val="es-ES"/>
      </w:rPr>
    </w:pPr>
    <w:r>
      <w:rPr>
        <w:color w:val="000000"/>
        <w:sz w:val="16"/>
        <w:szCs w:val="16"/>
        <w:lang w:val="en-US"/>
      </w:rPr>
      <w:t xml:space="preserve">S e c c i ó n   G a s t o s      2  4 0 0   1 1   0 6   -   i n t .   </w:t>
    </w:r>
    <w:r>
      <w:rPr>
        <w:color w:val="000000"/>
        <w:sz w:val="16"/>
        <w:szCs w:val="16"/>
        <w:lang w:val="es-ES"/>
      </w:rPr>
      <w:t>1 2 7 + 1 0 8 ,     f a x :   2  4 0 8   1 2   5 1 i n t. 1 0 3</w:t>
    </w:r>
  </w:p>
  <w:p>
    <w:pPr>
      <w:pStyle w:val="Piedepgina"/>
      <w:ind w:left="360" w:hanging="0"/>
      <w:jc w:val="center"/>
      <w:rPr>
        <w:color w:val="000000"/>
        <w:sz w:val="16"/>
        <w:szCs w:val="14"/>
      </w:rPr>
    </w:pPr>
    <w:r>
      <w:rPr>
        <w:color w:val="000000"/>
        <w:sz w:val="16"/>
        <w:szCs w:val="14"/>
      </w:rPr>
      <w:t>g a s t o s @ f a r q . e d u . u y</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2699385" cy="981075"/>
          <wp:effectExtent l="0" t="0" r="0" b="0"/>
          <wp:docPr id="1" name="Picture 0" descr="Logo Fadu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 Fadu color.png"/>
                  <pic:cNvPicPr>
                    <a:picLocks noChangeAspect="1" noChangeArrowheads="1"/>
                  </pic:cNvPicPr>
                </pic:nvPicPr>
                <pic:blipFill>
                  <a:blip r:embed="rId1"/>
                  <a:stretch>
                    <a:fillRect/>
                  </a:stretch>
                </pic:blipFill>
                <pic:spPr bwMode="auto">
                  <a:xfrm>
                    <a:off x="0" y="0"/>
                    <a:ext cx="2699385" cy="981075"/>
                  </a:xfrm>
                  <a:prstGeom prst="rect">
                    <a:avLst/>
                  </a:prstGeom>
                </pic:spPr>
              </pic:pic>
            </a:graphicData>
          </a:graphic>
        </wp:inline>
      </w:drawing>
    </w:r>
    <w:r>
      <mc:AlternateContent>
        <mc:Choice Requires="wps">
          <w:drawing>
            <wp:anchor behindDoc="1" distT="0" distB="0" distL="114935" distR="114935" simplePos="0" locked="0" layoutInCell="1" allowOverlap="1" relativeHeight="3">
              <wp:simplePos x="0" y="0"/>
              <wp:positionH relativeFrom="column">
                <wp:posOffset>1186815</wp:posOffset>
              </wp:positionH>
              <wp:positionV relativeFrom="paragraph">
                <wp:posOffset>74295</wp:posOffset>
              </wp:positionV>
              <wp:extent cx="3257550" cy="552450"/>
              <wp:effectExtent l="0" t="0" r="0" b="0"/>
              <wp:wrapNone/>
              <wp:docPr id="2" name=""/>
              <a:graphic xmlns:a="http://schemas.openxmlformats.org/drawingml/2006/main">
                <a:graphicData uri="http://schemas.microsoft.com/office/word/2010/wordprocessingShape">
                  <wps:wsp>
                    <wps:cNvSpPr txBox="1"/>
                    <wps:spPr>
                      <a:xfrm>
                        <a:off x="0" y="0"/>
                        <a:ext cx="3257550" cy="552450"/>
                      </a:xfrm>
                      <a:prstGeom prst="rect"/>
                      <a:solidFill>
                        <a:srgbClr val="FFFFFF"/>
                      </a:solidFill>
                    </wps:spPr>
                    <wps:txbx>
                      <w:txbxContent>
                        <w:p>
                          <w:pPr>
                            <w:pStyle w:val="Ttulo2"/>
                            <w:ind w:left="0" w:hanging="0"/>
                            <w:rPr>
                              <w:lang w:val="es-UY"/>
                            </w:rPr>
                          </w:pPr>
                          <w:r>
                            <w:rPr>
                              <w:lang w:val="es-UY"/>
                            </w:rPr>
                          </w:r>
                        </w:p>
                      </w:txbxContent>
                    </wps:txbx>
                    <wps:bodyPr anchor="t" lIns="0" tIns="0" rIns="0" bIns="0">
                      <a:noAutofit/>
                    </wps:bodyPr>
                  </wps:wsp>
                </a:graphicData>
              </a:graphic>
            </wp:anchor>
          </w:drawing>
        </mc:Choice>
        <mc:Fallback>
          <w:pict>
            <v:rect fillcolor="#FFFFFF" stroked="f" strokeweight="0pt" style="position:absolute;rotation:0;width:256.5pt;height:43.5pt;mso-wrap-distance-left:9.05pt;mso-wrap-distance-right:9.05pt;mso-wrap-distance-top:0pt;mso-wrap-distance-bottom:0pt;margin-top:5.85pt;mso-position-vertical-relative:text;margin-left:93.45pt;mso-position-horizontal-relative:text">
              <v:textbox inset="0in,0in,0in,0in">
                <w:txbxContent>
                  <w:p>
                    <w:pPr>
                      <w:pStyle w:val="Ttulo2"/>
                      <w:ind w:left="0" w:hanging="0"/>
                      <w:rPr>
                        <w:lang w:val="es-UY"/>
                      </w:rPr>
                    </w:pPr>
                    <w:r>
                      <w:rPr>
                        <w:lang w:val="es-UY"/>
                      </w:rPr>
                    </w:r>
                  </w:p>
                </w:txbxContent>
              </v:textbox>
            </v:rect>
          </w:pict>
        </mc:Fallback>
      </mc:AlternateContent>
    </w:r>
  </w:p>
  <w:p>
    <w:pPr>
      <w:pStyle w:val="Cabecera"/>
      <w:rPr/>
    </w:pPr>
    <w:r>
      <w:rPr/>
    </w:r>
  </w:p>
  <w:p>
    <w:pPr>
      <w:pStyle w:val="Cabecera"/>
      <w:rPr/>
    </w:pPr>
    <w:r>
      <w:rPr/>
    </w:r>
  </w:p>
  <w:p>
    <w:pPr>
      <w:pStyle w:val="Cabecera"/>
      <w:rPr/>
    </w:pPr>
    <w:r>
      <w:rPr/>
    </w:r>
  </w:p>
  <w:p>
    <w:pPr>
      <w:pStyle w:val="Cabecera"/>
      <w:rPr/>
    </w:pPr>
    <w:r>
      <w:rPr/>
      <mc:AlternateContent>
        <mc:Choice Requires="wps">
          <w:drawing>
            <wp:anchor behindDoc="1" distT="0" distB="0" distL="114300" distR="114300" simplePos="0" locked="0" layoutInCell="1" allowOverlap="1" relativeHeight="7">
              <wp:simplePos x="0" y="0"/>
              <wp:positionH relativeFrom="column">
                <wp:posOffset>53340</wp:posOffset>
              </wp:positionH>
              <wp:positionV relativeFrom="paragraph">
                <wp:posOffset>42545</wp:posOffset>
              </wp:positionV>
              <wp:extent cx="5353685" cy="1270"/>
              <wp:effectExtent l="0" t="0" r="0" b="0"/>
              <wp:wrapNone/>
              <wp:docPr id="3" name=""/>
              <a:graphic xmlns:a="http://schemas.openxmlformats.org/drawingml/2006/main">
                <a:graphicData uri="http://schemas.microsoft.com/office/word/2010/wordprocessingShape">
                  <wps:wsp>
                    <wps:cNvSpPr/>
                    <wps:spPr>
                      <a:xfrm>
                        <a:off x="0" y="0"/>
                        <a:ext cx="53532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4.2pt;margin-top:3.35pt;width:421.45pt;height:0pt" type="shapetype_32">
              <w10:wrap type="none"/>
              <v:fill o:detectmouseclick="t" on="false"/>
              <v:stroke color="black"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hyphenationZone w:val="425"/>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UY"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1b17"/>
    <w:pPr>
      <w:widowControl/>
      <w:bidi w:val="0"/>
      <w:spacing w:lineRule="auto" w:line="240" w:before="0" w:after="0"/>
      <w:jc w:val="left"/>
    </w:pPr>
    <w:rPr>
      <w:rFonts w:ascii="Times New Roman" w:hAnsi="Times New Roman" w:eastAsia="Times New Roman" w:cs="Times New Roman"/>
      <w:color w:val="auto"/>
      <w:kern w:val="0"/>
      <w:sz w:val="20"/>
      <w:szCs w:val="20"/>
      <w:lang w:eastAsia="es-ES" w:val="es-UY" w:bidi="ar-SA"/>
    </w:rPr>
  </w:style>
  <w:style w:type="paragraph" w:styleId="Ttulo2">
    <w:name w:val="Heading 2"/>
    <w:basedOn w:val="Normal"/>
    <w:next w:val="Normal"/>
    <w:link w:val="Heading2Char"/>
    <w:qFormat/>
    <w:rsid w:val="00e65816"/>
    <w:pPr>
      <w:keepNext w:val="true"/>
      <w:suppressAutoHyphens w:val="true"/>
      <w:ind w:left="1440" w:hanging="360"/>
      <w:outlineLvl w:val="1"/>
    </w:pPr>
    <w:rPr>
      <w:b/>
      <w:sz w:val="24"/>
      <w:lang w:val="es-ES" w:eastAsia="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667da"/>
    <w:rPr>
      <w:rFonts w:ascii="Times New Roman" w:hAnsi="Times New Roman" w:eastAsia="Times New Roman" w:cs="Times New Roman"/>
      <w:sz w:val="20"/>
      <w:szCs w:val="20"/>
      <w:lang w:eastAsia="es-ES"/>
    </w:rPr>
  </w:style>
  <w:style w:type="character" w:styleId="FooterChar" w:customStyle="1">
    <w:name w:val="Footer Char"/>
    <w:basedOn w:val="DefaultParagraphFont"/>
    <w:link w:val="Footer"/>
    <w:uiPriority w:val="99"/>
    <w:semiHidden/>
    <w:qFormat/>
    <w:rsid w:val="005667da"/>
    <w:rPr>
      <w:rFonts w:ascii="Times New Roman" w:hAnsi="Times New Roman" w:eastAsia="Times New Roman" w:cs="Times New Roman"/>
      <w:sz w:val="20"/>
      <w:szCs w:val="20"/>
      <w:lang w:eastAsia="es-ES"/>
    </w:rPr>
  </w:style>
  <w:style w:type="character" w:styleId="Heading2Char" w:customStyle="1">
    <w:name w:val="Heading 2 Char"/>
    <w:basedOn w:val="DefaultParagraphFont"/>
    <w:link w:val="Heading2"/>
    <w:qFormat/>
    <w:rsid w:val="00e65816"/>
    <w:rPr>
      <w:rFonts w:ascii="Times New Roman" w:hAnsi="Times New Roman" w:eastAsia="Times New Roman" w:cs="Times New Roman"/>
      <w:b/>
      <w:sz w:val="24"/>
      <w:szCs w:val="20"/>
      <w:lang w:val="es-ES" w:eastAsia="ar-SA"/>
    </w:rPr>
  </w:style>
  <w:style w:type="character" w:styleId="BalloonTextChar" w:customStyle="1">
    <w:name w:val="Balloon Text Char"/>
    <w:basedOn w:val="DefaultParagraphFont"/>
    <w:link w:val="BalloonText"/>
    <w:uiPriority w:val="99"/>
    <w:semiHidden/>
    <w:qFormat/>
    <w:rsid w:val="00ec7439"/>
    <w:rPr>
      <w:rFonts w:ascii="Tahoma" w:hAnsi="Tahoma" w:eastAsia="Times New Roman" w:cs="Tahoma"/>
      <w:sz w:val="16"/>
      <w:szCs w:val="16"/>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e30e7"/>
    <w:pPr>
      <w:spacing w:before="0" w:after="0"/>
      <w:ind w:left="720" w:hanging="0"/>
      <w:contextualSpacing/>
    </w:pPr>
    <w:rPr/>
  </w:style>
  <w:style w:type="paragraph" w:styleId="Cabeceraypie">
    <w:name w:val="Cabecera y pie"/>
    <w:basedOn w:val="Normal"/>
    <w:qFormat/>
    <w:pPr/>
    <w:rPr/>
  </w:style>
  <w:style w:type="paragraph" w:styleId="Cabecera">
    <w:name w:val="Header"/>
    <w:basedOn w:val="Normal"/>
    <w:link w:val="HeaderChar"/>
    <w:uiPriority w:val="99"/>
    <w:semiHidden/>
    <w:unhideWhenUsed/>
    <w:rsid w:val="005667da"/>
    <w:pPr>
      <w:tabs>
        <w:tab w:val="clear" w:pos="708"/>
        <w:tab w:val="center" w:pos="4252" w:leader="none"/>
        <w:tab w:val="right" w:pos="8504" w:leader="none"/>
      </w:tabs>
    </w:pPr>
    <w:rPr/>
  </w:style>
  <w:style w:type="paragraph" w:styleId="Piedepgina">
    <w:name w:val="Footer"/>
    <w:basedOn w:val="Normal"/>
    <w:link w:val="FooterChar"/>
    <w:unhideWhenUsed/>
    <w:rsid w:val="005667da"/>
    <w:pPr>
      <w:tabs>
        <w:tab w:val="clear" w:pos="708"/>
        <w:tab w:val="center" w:pos="4252" w:leader="none"/>
        <w:tab w:val="right" w:pos="8504" w:leader="none"/>
      </w:tabs>
    </w:pPr>
    <w:rPr/>
  </w:style>
  <w:style w:type="paragraph" w:styleId="Default" w:customStyle="1">
    <w:name w:val="Default"/>
    <w:qFormat/>
    <w:rsid w:val="009f2f57"/>
    <w:pPr>
      <w:widowControl w:val="false"/>
      <w:bidi w:val="0"/>
      <w:spacing w:lineRule="auto" w:line="240" w:before="0" w:after="0"/>
      <w:jc w:val="left"/>
    </w:pPr>
    <w:rPr>
      <w:rFonts w:ascii="Arial Narrow" w:hAnsi="Arial Narrow" w:eastAsia="" w:cs="Arial Narrow" w:eastAsiaTheme="minorEastAsia"/>
      <w:color w:val="000000"/>
      <w:kern w:val="0"/>
      <w:sz w:val="24"/>
      <w:szCs w:val="24"/>
      <w:lang w:val="es-ES" w:eastAsia="es-ES" w:bidi="ar-SA"/>
    </w:rPr>
  </w:style>
  <w:style w:type="paragraph" w:styleId="BalloonText">
    <w:name w:val="Balloon Text"/>
    <w:basedOn w:val="Normal"/>
    <w:link w:val="BalloonTextChar"/>
    <w:uiPriority w:val="99"/>
    <w:semiHidden/>
    <w:unhideWhenUsed/>
    <w:qFormat/>
    <w:rsid w:val="00ec7439"/>
    <w:pPr/>
    <w:rPr>
      <w:rFonts w:ascii="Tahoma" w:hAnsi="Tahoma" w:cs="Tahoma"/>
      <w:sz w:val="16"/>
      <w:szCs w:val="16"/>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11DD-7BE5-46F4-A0A3-02365726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Application>LibreOffice/6.4.3.2$Windows_X86_64 LibreOffice_project/747b5d0ebf89f41c860ec2a39efd7cb15b54f2d8</Application>
  <Pages>2</Pages>
  <Words>587</Words>
  <Characters>2552</Characters>
  <CharactersWithSpaces>3178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2011-10-21T13:04:00Z</dcterms:created>
  <dc:creator>Contaduria</dc:creator>
  <dc:description/>
  <dc:language>es-AR</dc:language>
  <cp:lastModifiedBy/>
  <cp:lastPrinted>2013-06-07T15:07:00Z</cp:lastPrinted>
  <dcterms:modified xsi:type="dcterms:W3CDTF">2021-04-06T12:13:21Z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